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24695D4C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C4741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36E553E0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="00DF3A4F">
              <w:rPr>
                <w:rFonts w:ascii="Arial" w:hAnsi="Arial" w:cs="Arial"/>
                <w:sz w:val="20"/>
                <w:szCs w:val="20"/>
              </w:rPr>
              <w:t>Infrastruktury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1AC69421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41414754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03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4A601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191CEC6B" w14:textId="77777777" w:rsidR="00A633E7" w:rsidRDefault="00A63DFF" w:rsidP="00A633E7">
      <w:pPr>
        <w:pStyle w:val="Nagwek3"/>
        <w:spacing w:after="360" w:line="240" w:lineRule="auto"/>
        <w:ind w:left="284" w:hanging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14:paraId="31F1FAF3" w14:textId="7650E98E" w:rsidR="00A63DFF" w:rsidRPr="0088524C" w:rsidRDefault="00A63DFF" w:rsidP="00A633E7">
      <w:pPr>
        <w:pStyle w:val="Nagwek3"/>
        <w:spacing w:after="360" w:line="240" w:lineRule="auto"/>
        <w:ind w:left="284" w:hanging="284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3FF1F8C7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40E1D37E" w:rsidR="00033657" w:rsidRPr="00136E5E" w:rsidRDefault="00C03C01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71,43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42A57128" w:rsidR="00A63DFF" w:rsidRDefault="00C03C01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34,04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029B931B" w:rsidR="00A63DFF" w:rsidRPr="00C01ED6" w:rsidRDefault="00C03C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71,76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A93583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1F797F2F" w14:textId="24766486" w:rsidR="00CB02B2" w:rsidRPr="00CB02B2" w:rsidRDefault="00CB02B2" w:rsidP="00CB02B2">
      <w:pPr>
        <w:rPr>
          <w:rFonts w:ascii="Calibri" w:eastAsia="Times New Roman" w:hAnsi="Calibri" w:cs="Calibri"/>
          <w:sz w:val="18"/>
          <w:szCs w:val="18"/>
          <w:lang w:eastAsia="pl-PL"/>
        </w:rPr>
      </w:pPr>
      <w:r w:rsidRPr="00CB02B2">
        <w:rPr>
          <w:rFonts w:ascii="Calibri" w:eastAsia="Times New Roman" w:hAnsi="Calibri" w:cs="Calibri"/>
          <w:sz w:val="18"/>
          <w:szCs w:val="18"/>
          <w:lang w:eastAsia="pl-PL"/>
        </w:rPr>
        <w:t xml:space="preserve"> * głównym powodem zmniejszenia wartości środków zaangażowanych jest</w:t>
      </w:r>
      <w:r w:rsidRPr="00B40006">
        <w:rPr>
          <w:rFonts w:ascii="Calibri" w:eastAsia="Times New Roman" w:hAnsi="Calibri" w:cs="Calibri"/>
          <w:sz w:val="18"/>
          <w:szCs w:val="18"/>
          <w:lang w:eastAsia="pl-PL"/>
        </w:rPr>
        <w:t xml:space="preserve"> i</w:t>
      </w:r>
      <w:r w:rsidRPr="00CB02B2">
        <w:rPr>
          <w:rFonts w:ascii="Calibri" w:eastAsia="Times New Roman" w:hAnsi="Calibri" w:cs="Calibri"/>
          <w:sz w:val="18"/>
          <w:szCs w:val="18"/>
          <w:lang w:eastAsia="pl-PL"/>
        </w:rPr>
        <w:t>stotnie mniejsza od spodziewanej kwota VAT przy umowie na dostawę stacji odbioru i przetwarzania danych satelitarnych w związku z realizacją zakupu poza obszarem UE</w:t>
      </w:r>
    </w:p>
    <w:p w14:paraId="35180A44" w14:textId="05A673DB" w:rsidR="00A93583" w:rsidRDefault="00A93583" w:rsidP="00CB02B2">
      <w:pPr>
        <w:pStyle w:val="Nagwek3"/>
        <w:spacing w:after="200" w:line="240" w:lineRule="auto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DB747C3" w14:textId="5B48EE50" w:rsidR="00A633E7" w:rsidRDefault="00A633E7" w:rsidP="00A633E7"/>
    <w:p w14:paraId="17EB512D" w14:textId="77777777" w:rsidR="00A633E7" w:rsidRPr="00A633E7" w:rsidRDefault="00A633E7" w:rsidP="00A633E7"/>
    <w:p w14:paraId="5BCE7FB3" w14:textId="4CAD72C0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4A72F400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35C04B4B" w:rsidR="00A63DFF" w:rsidRPr="00C01ED6" w:rsidRDefault="00BF2E2E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73973164" w14:textId="08EB516D" w:rsidR="00A63DFF" w:rsidRDefault="00BF2E2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1F949DC" w14:textId="77777777" w:rsidR="00942320" w:rsidRDefault="00942320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33BF8C2" w14:textId="69ADA92D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DEC8A15" w14:textId="307D9705" w:rsidR="008B47F3" w:rsidRPr="008B47F3" w:rsidRDefault="00B77646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549B0F24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3932B27" w:rsidR="00A63DFF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4FEB53C8" w14:textId="77777777" w:rsidR="00942320" w:rsidRPr="005B0EFC" w:rsidRDefault="0094232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305E8F1F" w14:textId="46400EF2" w:rsidR="00D422AC" w:rsidRPr="005B0EFC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  <w:r w:rsidR="0094232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do odbioru danych Sentinel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29FECFA6" w:rsidR="00A63DFF" w:rsidRPr="00C01ED6" w:rsidRDefault="00221C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46" w:type="dxa"/>
          </w:tcPr>
          <w:p w14:paraId="42901B0E" w14:textId="676FC48D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2793" w:type="dxa"/>
          </w:tcPr>
          <w:p w14:paraId="2D6AB317" w14:textId="084EF59D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2F70ED98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</w:t>
            </w:r>
            <w:r w:rsidR="00431E1E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32791E" w14:textId="59401A0E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Brak możliwości przypisania wartości docelowej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2F1C034C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5D17751B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</w:t>
            </w:r>
            <w:r w:rsidR="00BF2E2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059A8449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73D44C7C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154FF9E9" w14:textId="7CBF0359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03-2021</w:t>
            </w:r>
          </w:p>
        </w:tc>
        <w:tc>
          <w:tcPr>
            <w:tcW w:w="2793" w:type="dxa"/>
          </w:tcPr>
          <w:p w14:paraId="0804F97D" w14:textId="755D0FE5" w:rsidR="00A63DFF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07280D43" w14:textId="77777777" w:rsidR="0097734F" w:rsidRDefault="0097734F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69165A9" w14:textId="77777777" w:rsidR="007C4741" w:rsidRDefault="007C4741" w:rsidP="007C474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701D40B6" w14:textId="77777777" w:rsidR="007C4741" w:rsidRDefault="00BF65D6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F65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wykorzystania posiadanego przez IMGW-PIB oprogramowania OSCAD na potrzeby zapewnienia ciągłości działania systemu odbioru i przetwarzania danych satelitarnych z uwagi na niepowodzenie zapytania ofertowego na jego integrację z systemami IMGW-PIB. Główną przyczyną braku ofert jest brak na rynku wersji systemu OSCAD dostosowanej do nowych obecnie obowiązujących rozwiązań technologicznych</w:t>
            </w:r>
            <w:r w:rsidR="004777F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38331897" w14:textId="18550A83" w:rsidR="004777F3" w:rsidRPr="00C01ED6" w:rsidRDefault="004777F3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Wobec zaistniałej sytuacji konieczne było zrealizowanie dodatkowych prac</w:t>
            </w:r>
            <w:r w:rsidRPr="00477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służąc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Pr="00477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zapewnieniu ciągłości działania w ramach Systemu Zarządzania Jakością funkcjonującego w IMGW-PIB.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BF2E2E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BF2E2E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BF2E2E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BF2E2E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BF2E2E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1E297705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41F26336" w:rsidR="00A63DFF" w:rsidRPr="00C01ED6" w:rsidRDefault="00EC6A7B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43DB7D92" w14:textId="1752548C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2793" w:type="dxa"/>
          </w:tcPr>
          <w:p w14:paraId="566D2F6A" w14:textId="0E37BA35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stacjonarnego centrum analizowania i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051126EB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7E0EBB64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1B7EBE79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754D50C2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0CFA490F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07-2020</w:t>
            </w:r>
          </w:p>
        </w:tc>
        <w:tc>
          <w:tcPr>
            <w:tcW w:w="2793" w:type="dxa"/>
          </w:tcPr>
          <w:p w14:paraId="4556A6A2" w14:textId="0AD4E490" w:rsidR="00290F54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</w:t>
            </w:r>
            <w:r w:rsidR="00EC6A7B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589AEF6C" w:rsidR="00A63DFF" w:rsidRPr="00D361DB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</w:t>
            </w:r>
            <w:r w:rsidR="005F1ADD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0AC4F01" w14:textId="18614A72" w:rsidR="00A63DFF" w:rsidRDefault="0077562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1</w:t>
            </w:r>
            <w:r w:rsidR="0069561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: 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brak</w:t>
            </w:r>
          </w:p>
          <w:p w14:paraId="18C30F22" w14:textId="533B7DF0" w:rsidR="0069561C" w:rsidRDefault="0069561C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2: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07.2020</w:t>
            </w:r>
          </w:p>
          <w:p w14:paraId="758A34B9" w14:textId="1A0166BF" w:rsidR="0069561C" w:rsidRPr="00D361DB" w:rsidRDefault="0069561C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Cz. 3: 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09.2020</w:t>
            </w:r>
          </w:p>
        </w:tc>
        <w:tc>
          <w:tcPr>
            <w:tcW w:w="2793" w:type="dxa"/>
          </w:tcPr>
          <w:p w14:paraId="1F6CB3DA" w14:textId="30D5E07E" w:rsidR="00B17684" w:rsidRPr="0069561C" w:rsidRDefault="00B17684" w:rsidP="00B17684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Niezrealizowany w zakresie cz. 1 (Wielkoformatowy system ekranowy </w:t>
            </w: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z procesorem graficznym na potrzeby obsługi sali operacyjnej oraz telekonferencji).</w:t>
            </w:r>
          </w:p>
          <w:p w14:paraId="68C0B680" w14:textId="77777777" w:rsidR="0069561C" w:rsidRPr="0069561C" w:rsidRDefault="0077562D" w:rsidP="0069561C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w zakresie </w:t>
            </w:r>
            <w:r w:rsidR="0069561C"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części 2 (Dostawa 6 szt. laptopów oraz akcesoriów)</w:t>
            </w:r>
          </w:p>
          <w:p w14:paraId="660ACC09" w14:textId="77777777" w:rsidR="00B17684" w:rsidRDefault="0069561C" w:rsidP="0069561C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3 (Dostawa, instalacja i konfiguracja serwera wraz z terminalami),</w:t>
            </w:r>
          </w:p>
          <w:p w14:paraId="18C1CF4C" w14:textId="2F5AEECF" w:rsidR="0077562D" w:rsidRDefault="007756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braku realizacji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zakresie części 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  <w:p w14:paraId="74108AAC" w14:textId="11A07EC9" w:rsidR="00F339BD" w:rsidRDefault="00B1768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Trzykrotna konieczność unieważnienia postępowania przetargowego z uwagi na brak ofert niepodlegających odrzuceniu. </w:t>
            </w:r>
          </w:p>
          <w:p w14:paraId="52158D99" w14:textId="32CD1F6F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części 1</w:t>
            </w: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uwagi na </w:t>
            </w:r>
            <w:r w:rsidR="00A633E7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zakończony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okres realizacji projektu postępowanie nie będzie powtarzane po raz kolejny. Beneficjent zapewni</w:t>
            </w:r>
            <w:r w:rsidR="00A633E7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 w:rsidR="00B1768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sprzęt niezbędny do uruchomienia kluczowych funkcjonalności centrum z zasobów własnych. 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4407CB75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350CA5F4" w14:textId="51000C9A" w:rsidR="00A63DFF" w:rsidRPr="00C01ED6" w:rsidRDefault="007C4741" w:rsidP="00B17684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2793" w:type="dxa"/>
          </w:tcPr>
          <w:p w14:paraId="037C0468" w14:textId="77777777" w:rsidR="007C4741" w:rsidRDefault="007C4741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414756E9" w14:textId="60DA2E2C" w:rsidR="00F339BD" w:rsidRPr="00C01ED6" w:rsidRDefault="00B17684" w:rsidP="000D446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0104726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3D141DD6" w14:textId="2FAA6D94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55CF793D" w:rsidR="00A63DFF" w:rsidRPr="00C01ED6" w:rsidRDefault="0097734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2793" w:type="dxa"/>
          </w:tcPr>
          <w:p w14:paraId="706D28C6" w14:textId="77777777" w:rsidR="0097734F" w:rsidRDefault="0097734F" w:rsidP="0097734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1E0646A" w14:textId="383AA4BA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70E341B2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03E4A1C0" w14:textId="16860191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2793" w:type="dxa"/>
          </w:tcPr>
          <w:p w14:paraId="751DE5BD" w14:textId="2D2A3E9A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436288A4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7CAECEE6" w14:textId="312ECD8C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2793" w:type="dxa"/>
          </w:tcPr>
          <w:p w14:paraId="02340B11" w14:textId="345F574E" w:rsidR="00C0712A" w:rsidRPr="00C0712A" w:rsidRDefault="007C4741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59444D3B" w14:textId="17F2A0B7" w:rsidR="00F339BD" w:rsidRPr="00C01ED6" w:rsidRDefault="00F339BD" w:rsidP="00FC6A1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066E47F0" w:rsidR="00A63DFF" w:rsidRPr="006226EC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</w:t>
            </w:r>
            <w:r w:rsidR="005F1ADD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623742C" w14:textId="48ADB51D" w:rsidR="00C0712A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1: brak</w:t>
            </w:r>
          </w:p>
          <w:p w14:paraId="492CC16E" w14:textId="77777777" w:rsidR="00C0712A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2: 07.2020</w:t>
            </w:r>
          </w:p>
          <w:p w14:paraId="4BC29543" w14:textId="10671D5E" w:rsidR="00A63DFF" w:rsidRPr="006226EC" w:rsidRDefault="00C0712A" w:rsidP="00C0712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Cz. 3: 09.2020</w:t>
            </w:r>
          </w:p>
        </w:tc>
        <w:tc>
          <w:tcPr>
            <w:tcW w:w="2793" w:type="dxa"/>
          </w:tcPr>
          <w:p w14:paraId="0F4DDE24" w14:textId="77777777" w:rsidR="00C0712A" w:rsidRPr="0069561C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Niezrealizowany w zakresie cz. 1 (Wielkoformatowy system ekranowy </w:t>
            </w: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z procesorem graficznym na potrzeby obsługi sali operacyjnej oraz telekonferencji).</w:t>
            </w:r>
          </w:p>
          <w:p w14:paraId="394FB1BE" w14:textId="77777777" w:rsidR="00C0712A" w:rsidRPr="0069561C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2 (Dostawa 6 szt. laptopów oraz akcesoriów)</w:t>
            </w:r>
          </w:p>
          <w:p w14:paraId="4162955F" w14:textId="77777777" w:rsidR="00C0712A" w:rsidRDefault="00C0712A" w:rsidP="00C0712A">
            <w:pPr>
              <w:pStyle w:val="Akapitzlist"/>
              <w:numPr>
                <w:ilvl w:val="0"/>
                <w:numId w:val="34"/>
              </w:numPr>
              <w:ind w:left="271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9561C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 w zakresie części 3 (Dostawa, instalacja i konfiguracja serwera wraz z terminalami),</w:t>
            </w:r>
          </w:p>
          <w:p w14:paraId="7E09450F" w14:textId="77777777" w:rsid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braku realizacji w zakresie części 1: </w:t>
            </w:r>
          </w:p>
          <w:p w14:paraId="44AB51B3" w14:textId="77777777" w:rsidR="00C0712A" w:rsidRDefault="00C0712A" w:rsidP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Trzykrotna konieczność unieważnienia postępowania przetargowego z uwagi na brak ofert niepodlegających odrzuceniu. </w:t>
            </w:r>
          </w:p>
          <w:p w14:paraId="02E4FF1D" w14:textId="17E472E3" w:rsidR="00F339BD" w:rsidRPr="00C01ED6" w:rsidRDefault="00C0712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części 1</w:t>
            </w: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uwagi na </w:t>
            </w:r>
            <w:r w:rsidR="00A633E7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zakończony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okres realizacji projektu postępowanie nie będzie powtarzane po raz kolejny. Beneficjent zapewni</w:t>
            </w:r>
            <w:r w:rsidR="00A633E7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sprzęt niezbędny do uruchomienia kluczowych funkcjonalności centrum z zasobów własnych.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08FD1C7C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4489599A" w14:textId="295D1810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2793" w:type="dxa"/>
          </w:tcPr>
          <w:p w14:paraId="643F4B79" w14:textId="528F8ACE" w:rsidR="00F339BD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C0712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6D256913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EC6A7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16CD70CC" w:rsidR="00A63DFF" w:rsidRPr="00C01ED6" w:rsidRDefault="00EC6A7B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793" w:type="dxa"/>
          </w:tcPr>
          <w:p w14:paraId="71AAA9E2" w14:textId="4F3CDF02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646E4621" w:rsidR="00A63DFF" w:rsidRPr="00C01ED6" w:rsidRDefault="00EC6A7B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03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14:paraId="781A039C" w14:textId="3D2D9DCD" w:rsidR="00A63DFF" w:rsidRPr="00C01ED6" w:rsidRDefault="007C474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03-2021</w:t>
            </w:r>
          </w:p>
        </w:tc>
        <w:tc>
          <w:tcPr>
            <w:tcW w:w="2793" w:type="dxa"/>
          </w:tcPr>
          <w:p w14:paraId="19097A0D" w14:textId="3C8B86E1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1392457C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0BD6AEB9" w14:textId="4FC22880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zdigitalizowanych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3C0D1A00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1ACA9514" w14:textId="66988A45" w:rsidR="00A63DFF" w:rsidRPr="00C01ED6" w:rsidRDefault="007C474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1E75984D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21002566" w14:textId="04FD55C2" w:rsidR="00A63DFF" w:rsidRPr="00C01ED6" w:rsidRDefault="000D446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BF2B11">
              <w:rPr>
                <w:rFonts w:ascii="Arial" w:hAnsi="Arial" w:cs="Arial"/>
                <w:color w:val="000000" w:themeColor="text1"/>
                <w:sz w:val="20"/>
                <w:szCs w:val="20"/>
              </w:rPr>
              <w:t>2 811 809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30F67DE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B489D2B" w:rsidR="00A63DFF" w:rsidRPr="00C01ED6" w:rsidRDefault="009E5D6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2BC278C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5EA125D0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pobrań/odtworzeń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67CB043F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693017D5" w14:textId="05CF9B0B" w:rsidR="00A63DFF" w:rsidRPr="00C01ED6" w:rsidRDefault="000D446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206AD4">
              <w:rPr>
                <w:rFonts w:ascii="Arial" w:hAnsi="Arial" w:cs="Arial"/>
                <w:color w:val="000000" w:themeColor="text1"/>
                <w:sz w:val="20"/>
                <w:szCs w:val="20"/>
              </w:rPr>
              <w:t> 151 202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lastRenderedPageBreak/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6E0B32C1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</w:tcPr>
          <w:p w14:paraId="169A5603" w14:textId="0A7101D7" w:rsidR="00A63DFF" w:rsidRPr="00C01ED6" w:rsidRDefault="00BA3B1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206AD4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207614D0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2AC57323" w14:textId="2C604E21" w:rsidR="00A63DFF" w:rsidRPr="00C01ED6" w:rsidRDefault="00206AD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902</w:t>
            </w:r>
          </w:p>
        </w:tc>
      </w:tr>
    </w:tbl>
    <w:p w14:paraId="0280FE1E" w14:textId="4031CB0B" w:rsidR="000D4462" w:rsidRPr="00D40D47" w:rsidRDefault="000D4462" w:rsidP="00D40D4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* </w:t>
      </w:r>
      <w:r w:rsidRPr="00D40D47">
        <w:rPr>
          <w:color w:val="000000" w:themeColor="text1"/>
          <w:sz w:val="20"/>
          <w:szCs w:val="20"/>
        </w:rPr>
        <w:t xml:space="preserve">zmniejszenie wartości względem poprzedniego raportu wynika z </w:t>
      </w:r>
      <w:r w:rsidR="00D40D47">
        <w:rPr>
          <w:color w:val="000000" w:themeColor="text1"/>
          <w:sz w:val="20"/>
          <w:szCs w:val="20"/>
        </w:rPr>
        <w:t>pomyłkowego zliczenia w poprzednim raporcie danych udostępnionych i przygotowanych do udostępnienia. Skorygowano metodykę zliczania danych.</w:t>
      </w:r>
    </w:p>
    <w:p w14:paraId="4361F3BD" w14:textId="77FEBC0C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A633E7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A633E7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A633E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A633E7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Meteosat</w:t>
            </w:r>
          </w:p>
        </w:tc>
        <w:tc>
          <w:tcPr>
            <w:tcW w:w="1261" w:type="dxa"/>
          </w:tcPr>
          <w:p w14:paraId="62A79C06" w14:textId="6D093C5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531972C3" w14:textId="493439C3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125481DA" w14:textId="0E4418F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A633E7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165D9C9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1B922737" w14:textId="5CE1ACFC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50F732A3" w14:textId="657D8F2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A633E7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Terra/Aqua</w:t>
            </w:r>
          </w:p>
        </w:tc>
        <w:tc>
          <w:tcPr>
            <w:tcW w:w="1261" w:type="dxa"/>
          </w:tcPr>
          <w:p w14:paraId="7858EA56" w14:textId="204D40C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0622D0B1" w14:textId="58B618A3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00ACDC10" w14:textId="1CEA589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A633E7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Suomi NPP</w:t>
            </w:r>
          </w:p>
        </w:tc>
        <w:tc>
          <w:tcPr>
            <w:tcW w:w="1261" w:type="dxa"/>
          </w:tcPr>
          <w:p w14:paraId="1EF22177" w14:textId="4EBA9F5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49FA8675" w14:textId="5CDBFDEE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2B050122" w14:textId="6556396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A633E7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-1</w:t>
            </w:r>
          </w:p>
        </w:tc>
        <w:tc>
          <w:tcPr>
            <w:tcW w:w="1261" w:type="dxa"/>
          </w:tcPr>
          <w:p w14:paraId="1D0FB44F" w14:textId="687F4A95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7E850660" w14:textId="7EA96FB2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50527C3F" w14:textId="37E5115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A633E7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-2</w:t>
            </w:r>
          </w:p>
        </w:tc>
        <w:tc>
          <w:tcPr>
            <w:tcW w:w="1261" w:type="dxa"/>
          </w:tcPr>
          <w:p w14:paraId="46050283" w14:textId="765D13A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493E3BA6" w14:textId="452EF082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738323E5" w14:textId="69D7FAA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A633E7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Sentinel -3</w:t>
            </w:r>
          </w:p>
        </w:tc>
        <w:tc>
          <w:tcPr>
            <w:tcW w:w="1261" w:type="dxa"/>
          </w:tcPr>
          <w:p w14:paraId="4E830321" w14:textId="6BC7486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131BE514" w14:textId="34CD73FC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302FECCF" w14:textId="1DB862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A633E7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z innych satelitów (nie objęte bazami wymienionymi powyżej, a dostępne poprzez system EUMETCast)</w:t>
            </w:r>
          </w:p>
        </w:tc>
        <w:tc>
          <w:tcPr>
            <w:tcW w:w="1261" w:type="dxa"/>
          </w:tcPr>
          <w:p w14:paraId="5DB506D8" w14:textId="5732734F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0B24B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-2020</w:t>
            </w:r>
          </w:p>
        </w:tc>
        <w:tc>
          <w:tcPr>
            <w:tcW w:w="1395" w:type="dxa"/>
          </w:tcPr>
          <w:p w14:paraId="04D47A78" w14:textId="48E74C55" w:rsidR="00A63DFF" w:rsidRPr="00C01ED6" w:rsidRDefault="00EC6A7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4009" w:type="dxa"/>
          </w:tcPr>
          <w:p w14:paraId="666AF395" w14:textId="45B3A69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A633E7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7D46FDF8" w14:textId="79BAE413" w:rsidR="00A63DFF" w:rsidRPr="00563A50" w:rsidRDefault="00A63DFF" w:rsidP="00BF65D6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61" w:type="dxa"/>
          </w:tcPr>
          <w:p w14:paraId="278A1F83" w14:textId="21CDA303" w:rsidR="00A63DFF" w:rsidRPr="00C01ED6" w:rsidRDefault="000B24B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95" w:type="dxa"/>
          </w:tcPr>
          <w:p w14:paraId="78E7A759" w14:textId="4A1A55DA" w:rsidR="00A63DFF" w:rsidRPr="00C01ED6" w:rsidRDefault="00D40D47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03-2021</w:t>
            </w:r>
          </w:p>
        </w:tc>
        <w:tc>
          <w:tcPr>
            <w:tcW w:w="4009" w:type="dxa"/>
          </w:tcPr>
          <w:p w14:paraId="22032724" w14:textId="2E74F34C" w:rsidR="00A63DFF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Brak możliwości udostępnienia wojewódzkich planów zarządzania kryzysowego z uwagi na ich wrażliwy i poufny charakter. Upublicznienie mogłoby generować zagrożenie. Wobec powyższego zdigitalizowano i udostępniono dane pozyskane od Komendy Głównej Państwowej Straży Pożarnej, Wydziału Bezpieczeństwa i Zarządzania Kryzysowego Podkarpackiego Urzędu Wojewódzkiego w Rzeszowie, Wojewódzkiego Inspektoratu Ochrony Środowiska w Warszawie. </w:t>
            </w:r>
          </w:p>
          <w:p w14:paraId="6A0BFB77" w14:textId="6CD5E37A" w:rsidR="00ED0B59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0B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Zdigitalizowane dokumenty obrazują możliwości wykorzystania danych satelitarnych, geoinformacji oraz bezzałogowych statków powietrznych za pośrednictwem platformy SOK w aspekcie ich zastosowania podczas realnych sytuacji kryzysowych oraz działań operacyjnych podmiotów sektora bezpieczeństwa. Prezentacja możliwości </w:t>
            </w:r>
            <w:r w:rsidRPr="00ED0B5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współdzielenia oraz dystrybucji zdigitalizowanych informacji poprzez SOK, stanowi realny przykład dla użytkowników systemu w zakresie integracji platformy wyświetlania danych z jej praktycznym zastosowaniem podczas bieżącej realizacji działań.</w:t>
            </w: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Stacja odbioru i przetwarzania danych Sentinel</w:t>
            </w:r>
          </w:p>
        </w:tc>
        <w:tc>
          <w:tcPr>
            <w:tcW w:w="1701" w:type="dxa"/>
          </w:tcPr>
          <w:p w14:paraId="6F07A0EC" w14:textId="5CA1069A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12B56B5C" w14:textId="5C2BD3D3" w:rsidR="00A63DFF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5EBD4E28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66860E8C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503C553A" w14:textId="44107A1B" w:rsidR="00A63DFF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6677DB93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 w:rsidR="001648A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0C588C61" w14:textId="122BD54C" w:rsidR="00A63DFF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68E2675F" w:rsidR="00A63DFF" w:rsidRPr="00C01ED6" w:rsidRDefault="0097734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08-2020</w:t>
            </w: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E419A88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4B1CA04A" w14:textId="1B9AF91A" w:rsidR="00A63DFF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5F5D2ABF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</w:tcPr>
          <w:p w14:paraId="2F8268C1" w14:textId="0E114330" w:rsidR="00A63DFF" w:rsidRPr="00C01ED6" w:rsidRDefault="00ED0B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lastRenderedPageBreak/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55333AD7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143DD0E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8E332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149D301C" w:rsidR="00A63DFF" w:rsidRPr="00C01ED6" w:rsidRDefault="008E332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11CCA637" w:rsidR="00A63DFF" w:rsidRPr="00C01ED6" w:rsidRDefault="00E7504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Ryzyko zamknięte (wcześniej prawdopodobieństwo szacowano na w</w:t>
            </w:r>
            <w:r w:rsidR="00F339B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ysokie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84" w:type="dxa"/>
          </w:tcPr>
          <w:p w14:paraId="4E6A125B" w14:textId="328BB89D" w:rsidR="000D7467" w:rsidRPr="00837CC3" w:rsidRDefault="000D7467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0CAE541A" w14:textId="0BE6D85C" w:rsidR="00A63DFF" w:rsidRPr="00837CC3" w:rsidRDefault="00A63DFF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Staranne przygotow</w:t>
            </w:r>
            <w:r w:rsidR="009C08A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yw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anie dokumentacji przetargowej, zwłaszcza Opisu Przedmiotu Zamówienia</w:t>
            </w:r>
          </w:p>
          <w:p w14:paraId="45915D1F" w14:textId="488D1EF5" w:rsidR="009C08A5" w:rsidRDefault="009C08A5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weryfikacji dokumentacji przetargowej i wprowadzanie modyfikacji w oparciu o doświadczenia wyniesione z unieważnionych postępowań.</w:t>
            </w:r>
          </w:p>
          <w:p w14:paraId="68E9671B" w14:textId="2362DC0C" w:rsidR="007A59C3" w:rsidRDefault="007A59C3" w:rsidP="007A59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przypadku postępowań wymagających powtórzenia dokonywanie analizy prawnej i faktycznej ukierunkowanej na wybór najkorzystniejszego w danej sytuacji trybu prowadzenia kolejnego postępowania</w:t>
            </w:r>
          </w:p>
          <w:p w14:paraId="22A07B6C" w14:textId="692AE6CB" w:rsidR="007A59C3" w:rsidRDefault="007A59C3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Uwzględnienie w projektach umów w postępowaniach ogłoszonych po marcu 2020 zapisów wprost traktujących pandemię COVID</w:t>
            </w:r>
            <w:r w:rsidR="007D4ED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jako siłę wyższą</w:t>
            </w:r>
          </w:p>
          <w:p w14:paraId="2DE4DFA6" w14:textId="04CD3D6D" w:rsidR="008E332C" w:rsidRPr="00837CC3" w:rsidRDefault="008E332C" w:rsidP="00837CC3">
            <w:pPr>
              <w:pStyle w:val="Akapitzlist"/>
              <w:numPr>
                <w:ilvl w:val="0"/>
                <w:numId w:val="24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Podjęto decyzję o wykorzystaniu własnych zasobów Beneficjenta 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 zapewnienia kluczowych funkcjonalności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stacjonarnego centrum przetwarzania danych satelitarnych oraz centrum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udostępniania danych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</w:t>
            </w:r>
            <w:r w:rsidR="00AF073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związku ze spodziewanym unieważnieniem postępowania realizowanego w ramach projektu i brakiem możliwości powtórzenia go po raz kolejny.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C6A132" w14:textId="1983EC4C" w:rsidR="009C08A5" w:rsidRDefault="009C08A5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6B8E1E3E" w14:textId="12209D82" w:rsidR="007A59C3" w:rsidRDefault="00431C31" w:rsidP="00837CC3">
            <w:pPr>
              <w:pStyle w:val="Akapitzlist"/>
              <w:numPr>
                <w:ilvl w:val="0"/>
                <w:numId w:val="25"/>
              </w:num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konieczności wprowadzania znaczących zmian w dokumentacji przetargowej w toku postępowań.</w:t>
            </w:r>
          </w:p>
          <w:p w14:paraId="6253BCF6" w14:textId="3570B5AF" w:rsidR="007D4ED4" w:rsidRDefault="007D4ED4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Ułatwienie Wykonawcom złożenia ofert niepodlegających odrzuceniu</w:t>
            </w:r>
          </w:p>
          <w:p w14:paraId="403FA4E4" w14:textId="327B002C" w:rsidR="00D52FF9" w:rsidRDefault="007A59C3" w:rsidP="007A59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Zawarcie umowy na dostawę stacji odbioru danych satelitarnych </w:t>
            </w:r>
            <w:r w:rsidR="00431C31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 końcem września </w:t>
            </w:r>
            <w:r w:rsidR="0014218D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 w:rsidR="00431C31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wyniku postępowania przeprowadzonego w trybie z wolnej ręki.</w:t>
            </w:r>
          </w:p>
          <w:p w14:paraId="33E2D14A" w14:textId="25E7781C" w:rsidR="007A59C3" w:rsidRDefault="007D4ED4" w:rsidP="00837C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Zmitygowanie ryzyka w zakresie wycofania się z zawierania umów przez Wykonawców wobec pandemii COVID-19</w:t>
            </w:r>
          </w:p>
          <w:p w14:paraId="3BF7890A" w14:textId="3BB19657" w:rsidR="00AF073B" w:rsidRPr="00837CC3" w:rsidRDefault="006B210B" w:rsidP="00837CC3">
            <w:pPr>
              <w:pStyle w:val="Akapitzlist"/>
              <w:numPr>
                <w:ilvl w:val="0"/>
                <w:numId w:val="25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Umożliwienie uruchomienia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stacjonarnego centrum przetwarzania danych satelitarnych oraz centrum udostępniania danych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ich kluczowym zakresie pomimo zrealizowania niepełnego zakresu zakupów wyposażenia przewidywanych w ramach projektu.</w:t>
            </w:r>
          </w:p>
          <w:p w14:paraId="332C6FF0" w14:textId="18E935A5" w:rsidR="009C08A5" w:rsidRDefault="009C08A5" w:rsidP="00837CC3">
            <w:pPr>
              <w:pStyle w:val="Akapitzlist"/>
              <w:numPr>
                <w:ilvl w:val="0"/>
                <w:numId w:val="2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0F4FD716" w14:textId="077BD1E2" w:rsidR="001648AE" w:rsidRPr="00837CC3" w:rsidRDefault="00335D6E" w:rsidP="00335D6E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35D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Ryzyko zamknięte w związku z zakończeniem prac w zakresie zamówień publicznych. 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1559" w:type="dxa"/>
          </w:tcPr>
          <w:p w14:paraId="1D60AAAF" w14:textId="77777777" w:rsidR="00E75041" w:rsidRDefault="00E7504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Ryzyko zamknięte</w:t>
            </w:r>
          </w:p>
          <w:p w14:paraId="27A67D52" w14:textId="342F8E50" w:rsidR="00A63DFF" w:rsidRPr="00C01ED6" w:rsidRDefault="00E7504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(wcześniej prawdopodobieństwo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szacowano na ś</w:t>
            </w:r>
            <w:r w:rsidR="00431C3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rednie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84" w:type="dxa"/>
          </w:tcPr>
          <w:p w14:paraId="5FD78DE3" w14:textId="77777777" w:rsidR="00F24979" w:rsidRPr="00BD7642" w:rsidRDefault="00F24979" w:rsidP="00F24979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Podejmowane działania zarządcze</w:t>
            </w:r>
          </w:p>
          <w:p w14:paraId="2A39240A" w14:textId="77777777" w:rsidR="007B32D3" w:rsidRPr="00837CC3" w:rsidRDefault="00A63DFF" w:rsidP="00837CC3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Precyzyjne określenie rozwiązań, które muszą być zaprojektowane,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wykonane i dostarczone na etapie budowy infrastruktury.</w:t>
            </w:r>
          </w:p>
          <w:p w14:paraId="532AF1DA" w14:textId="06DAA086" w:rsidR="007B32D3" w:rsidRPr="00837CC3" w:rsidRDefault="007B32D3" w:rsidP="00837CC3">
            <w:pPr>
              <w:pStyle w:val="Akapitzlist"/>
              <w:numPr>
                <w:ilvl w:val="0"/>
                <w:numId w:val="26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operacyjn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ego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harmonogram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sposób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zapewnia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jący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współprac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pomiędzy dostawcą stacji odbioru danych satelitarnych a wykonawcą masztu pod antenę, </w:t>
            </w:r>
          </w:p>
          <w:p w14:paraId="7F6E3A51" w14:textId="77777777" w:rsidR="007B32D3" w:rsidRDefault="007B32D3" w:rsidP="00837CC3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135DFACE" w14:textId="38B2CFB8" w:rsidR="00FE6FB0" w:rsidRPr="00837CC3" w:rsidRDefault="007B32D3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uzyskanie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kompatybilnoś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ci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rozwiązań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stosowanych przez dostawcę stacji odbioru danych i wykonawcę wieży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i 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tym samym 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ogranicz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enie</w:t>
            </w:r>
            <w:r w:rsidR="00A10B9F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</w:t>
            </w: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102DE7"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braku możliwości wykorzystania zamówionej stacji.</w:t>
            </w:r>
          </w:p>
          <w:p w14:paraId="30E083D6" w14:textId="77777777" w:rsidR="007B32D3" w:rsidRDefault="007B32D3" w:rsidP="00837CC3">
            <w:pPr>
              <w:pStyle w:val="Akapitzlist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czy nastąpiła zmiana w zakresie danego ryzyka w stosunku do poprzedniego okresu sprawozdawczego</w:t>
            </w:r>
          </w:p>
          <w:p w14:paraId="5CEAD93A" w14:textId="29C1101E" w:rsidR="002411EC" w:rsidRPr="00837CC3" w:rsidRDefault="00335D6E" w:rsidP="00335D6E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t xml:space="preserve"> </w:t>
            </w:r>
            <w:r w:rsidRPr="00335D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zamknięte w związku z zakończeniem realizacji zadań, w których mogłoby się zmaterializować (związanych  z wdrażaniem infrastruktury do wykorzystania w ramach projektu)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7D5881D0" w14:textId="77777777" w:rsidR="00E75041" w:rsidRDefault="00E75041" w:rsidP="00E7504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Ryzyko zamknięte</w:t>
            </w:r>
          </w:p>
          <w:p w14:paraId="170817B7" w14:textId="6E941F12" w:rsidR="0074017D" w:rsidDel="0004587F" w:rsidRDefault="00E75041" w:rsidP="00E7504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(wcześniej prawdopodobieństwo szacowano na d</w:t>
            </w:r>
            <w:r w:rsidR="007B7F3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uże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84" w:type="dxa"/>
          </w:tcPr>
          <w:p w14:paraId="0FE939F9" w14:textId="77777777" w:rsidR="009D7DAA" w:rsidRPr="00BD7642" w:rsidRDefault="009D7DAA" w:rsidP="009D7DAA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D76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Podejmowane działania zarządcze</w:t>
            </w:r>
          </w:p>
          <w:p w14:paraId="4BB2D4EE" w14:textId="77777777" w:rsidR="00A750D7" w:rsidRDefault="0074017D" w:rsidP="00A750D7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</w:t>
            </w:r>
          </w:p>
          <w:p w14:paraId="0B647960" w14:textId="6073F423" w:rsidR="00A750D7" w:rsidRDefault="00A10B9F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przedłuż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4017D"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termin realizacji projektu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 24.03.2021.</w:t>
            </w:r>
          </w:p>
          <w:p w14:paraId="56F07CCC" w14:textId="7F8854F2" w:rsidR="0074017D" w:rsidRPr="00837CC3" w:rsidRDefault="0074017D" w:rsidP="00837CC3">
            <w:pPr>
              <w:pStyle w:val="Akapitzlist"/>
              <w:numPr>
                <w:ilvl w:val="0"/>
                <w:numId w:val="29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3D28FA95" w14:textId="77777777" w:rsidR="009D7DAA" w:rsidRDefault="009D7DAA" w:rsidP="00837CC3">
            <w:pPr>
              <w:pStyle w:val="Akapitzlist"/>
              <w:numPr>
                <w:ilvl w:val="0"/>
                <w:numId w:val="30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Spodziewane lub faktyczne efekty tych działań</w:t>
            </w:r>
          </w:p>
          <w:p w14:paraId="2C2FB469" w14:textId="3A406CD8" w:rsidR="009D7DAA" w:rsidRDefault="00723D7B" w:rsidP="00723D7B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Bieżące reagowanie na problemy Wykonawców związane z COVID-19 (zmodyfikowano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harmonogram jednej z umów na wyposażenie centrów analizowania i udostępniania danych satelitarnych)</w:t>
            </w:r>
          </w:p>
          <w:p w14:paraId="549C6F83" w14:textId="053B2502" w:rsidR="00723D7B" w:rsidRPr="00837CC3" w:rsidRDefault="00335D6E" w:rsidP="00837CC3">
            <w:pPr>
              <w:pStyle w:val="Akapitzlist"/>
              <w:numPr>
                <w:ilvl w:val="0"/>
                <w:numId w:val="32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 w:rsidR="00723D7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kończ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ono</w:t>
            </w:r>
            <w:r w:rsidR="00723D7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realizacj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ę</w:t>
            </w:r>
            <w:r w:rsidR="00723D7B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projektu w wydłużonym okresie</w:t>
            </w:r>
          </w:p>
          <w:p w14:paraId="1C5E8E5B" w14:textId="057B8258" w:rsidR="009D7DAA" w:rsidRDefault="009D7DAA" w:rsidP="00837CC3">
            <w:pPr>
              <w:pStyle w:val="Akapitzlist"/>
              <w:numPr>
                <w:ilvl w:val="0"/>
                <w:numId w:val="30"/>
              </w:numPr>
            </w:pPr>
            <w:r w:rsidRPr="00837CC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czy nastąpiła zmiana w zakresie danego ryzyka w stosunku do poprzedniego </w:t>
            </w:r>
          </w:p>
          <w:p w14:paraId="2C827989" w14:textId="49077F4A" w:rsidR="0074017D" w:rsidRPr="00837CC3" w:rsidRDefault="00335D6E" w:rsidP="00335D6E">
            <w:pPr>
              <w:pStyle w:val="Akapitzlist"/>
              <w:numPr>
                <w:ilvl w:val="0"/>
                <w:numId w:val="33"/>
              </w:num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35D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zamknięte w związku z zakończeniem realizacji zadań, w których mogłoby się zmaterializować.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FFE7DC8" w14:textId="77777777" w:rsidR="00E75041" w:rsidRDefault="00E75041" w:rsidP="00E75041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Ryzyko zamknięte</w:t>
            </w:r>
          </w:p>
          <w:p w14:paraId="4958DD41" w14:textId="3FAB1140" w:rsidR="00A63DFF" w:rsidRPr="00C01ED6" w:rsidRDefault="00E75041" w:rsidP="00E7504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E75041">
              <w:rPr>
                <w:rFonts w:ascii="Arial" w:eastAsia="Times New Roman" w:hAnsi="Arial" w:cs="Arial"/>
                <w:b w:val="0"/>
                <w:color w:val="000000" w:themeColor="text1"/>
                <w:sz w:val="20"/>
                <w:szCs w:val="20"/>
                <w:lang w:eastAsia="pl-PL"/>
              </w:rPr>
              <w:t>(wcześniej prawdopodobieństwo szacowano na ś</w:t>
            </w:r>
            <w:r w:rsidR="00102DE7" w:rsidRPr="00E75041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rednie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7CC8735C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</w:t>
            </w:r>
            <w:r w:rsidR="00E7504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uje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2E89981F" w:rsidR="002411EC" w:rsidRPr="00014B65" w:rsidRDefault="00E75041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7504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zamknięte w związku z zakończeniem realizacji zadań, w których mogłoby się zmaterializować. Ponadto nie prowadzi się obecnie na świecie prac, które mogłyby skutkować wprowadzeniem nowych formatów danych satelitarnych.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6F9DA471" w:rsidR="00A63DFF" w:rsidRPr="00C01ED6" w:rsidRDefault="00E75041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34F01E2F" w:rsidR="00692053" w:rsidRPr="00B40C72" w:rsidRDefault="00E7504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7504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Stopień prawdopodobieństwa obniżony z uwagi na odnotowywane  zainteresowanie produktami projektu po uruchomieniu serwisu danych satelitarnych mierzone wskaźnikami rezultatu projektu.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5AAD89D" w14:textId="77777777" w:rsidR="00A633E7" w:rsidRPr="00A633E7" w:rsidRDefault="00A63DFF" w:rsidP="00FA6175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eastAsiaTheme="majorEastAsia" w:hAnsi="Arial" w:cs="Arial"/>
          <w:color w:val="000000" w:themeColor="text1"/>
          <w:sz w:val="20"/>
          <w:szCs w:val="20"/>
        </w:rPr>
      </w:pPr>
      <w:r w:rsidRPr="00A633E7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A633E7">
        <w:rPr>
          <w:rFonts w:ascii="Arial" w:hAnsi="Arial" w:cs="Arial"/>
          <w:b/>
        </w:rPr>
        <w:t xml:space="preserve"> </w:t>
      </w:r>
    </w:p>
    <w:p w14:paraId="28AA320D" w14:textId="0492253A" w:rsidR="00A63DFF" w:rsidRPr="00A633E7" w:rsidRDefault="00A63DFF" w:rsidP="00A633E7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bookmarkStart w:id="1" w:name="_GoBack"/>
      <w:bookmarkEnd w:id="1"/>
      <w:r w:rsidRPr="00A633E7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C03C01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BFDD0" w14:textId="77777777" w:rsidR="00C03C01" w:rsidRDefault="00C03C01" w:rsidP="00A63DFF">
      <w:pPr>
        <w:spacing w:after="0" w:line="240" w:lineRule="auto"/>
      </w:pPr>
      <w:r>
        <w:separator/>
      </w:r>
    </w:p>
  </w:endnote>
  <w:endnote w:type="continuationSeparator" w:id="0">
    <w:p w14:paraId="7785D526" w14:textId="77777777" w:rsidR="00C03C01" w:rsidRDefault="00C03C01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5278D5" w14:textId="74E82057" w:rsidR="00C03C01" w:rsidRDefault="00C03C0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C03C01" w:rsidRDefault="00C03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15DFC" w14:textId="77777777" w:rsidR="00C03C01" w:rsidRDefault="00C03C01" w:rsidP="00A63DFF">
      <w:pPr>
        <w:spacing w:after="0" w:line="240" w:lineRule="auto"/>
      </w:pPr>
      <w:r>
        <w:separator/>
      </w:r>
    </w:p>
  </w:footnote>
  <w:footnote w:type="continuationSeparator" w:id="0">
    <w:p w14:paraId="74F3A104" w14:textId="77777777" w:rsidR="00C03C01" w:rsidRDefault="00C03C01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C03C01" w:rsidRDefault="00C03C01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C03C01" w:rsidRDefault="00C03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11C95"/>
    <w:multiLevelType w:val="hybridMultilevel"/>
    <w:tmpl w:val="00BA3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02A29"/>
    <w:multiLevelType w:val="hybridMultilevel"/>
    <w:tmpl w:val="D41A9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357A8E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A03861"/>
    <w:multiLevelType w:val="hybridMultilevel"/>
    <w:tmpl w:val="436CF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C0C98"/>
    <w:multiLevelType w:val="hybridMultilevel"/>
    <w:tmpl w:val="90BE750C"/>
    <w:lvl w:ilvl="0" w:tplc="6B96FC6E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18B4522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F63E0"/>
    <w:multiLevelType w:val="hybridMultilevel"/>
    <w:tmpl w:val="5AC0F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029EE"/>
    <w:multiLevelType w:val="hybridMultilevel"/>
    <w:tmpl w:val="B3CE6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217CC6"/>
    <w:multiLevelType w:val="hybridMultilevel"/>
    <w:tmpl w:val="BC128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C6327"/>
    <w:multiLevelType w:val="hybridMultilevel"/>
    <w:tmpl w:val="157A4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DC5D4F"/>
    <w:multiLevelType w:val="hybridMultilevel"/>
    <w:tmpl w:val="B972E0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16D15"/>
    <w:multiLevelType w:val="hybridMultilevel"/>
    <w:tmpl w:val="18780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BA4AF9"/>
    <w:multiLevelType w:val="hybridMultilevel"/>
    <w:tmpl w:val="4D727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8"/>
  </w:num>
  <w:num w:numId="4">
    <w:abstractNumId w:val="29"/>
  </w:num>
  <w:num w:numId="5">
    <w:abstractNumId w:val="21"/>
  </w:num>
  <w:num w:numId="6">
    <w:abstractNumId w:val="20"/>
  </w:num>
  <w:num w:numId="7">
    <w:abstractNumId w:val="1"/>
  </w:num>
  <w:num w:numId="8">
    <w:abstractNumId w:val="18"/>
  </w:num>
  <w:num w:numId="9">
    <w:abstractNumId w:val="27"/>
  </w:num>
  <w:num w:numId="10">
    <w:abstractNumId w:val="19"/>
  </w:num>
  <w:num w:numId="11">
    <w:abstractNumId w:val="32"/>
  </w:num>
  <w:num w:numId="12">
    <w:abstractNumId w:val="5"/>
  </w:num>
  <w:num w:numId="13">
    <w:abstractNumId w:val="17"/>
  </w:num>
  <w:num w:numId="14">
    <w:abstractNumId w:val="4"/>
  </w:num>
  <w:num w:numId="15">
    <w:abstractNumId w:val="6"/>
  </w:num>
  <w:num w:numId="16">
    <w:abstractNumId w:val="7"/>
  </w:num>
  <w:num w:numId="17">
    <w:abstractNumId w:val="2"/>
  </w:num>
  <w:num w:numId="18">
    <w:abstractNumId w:val="33"/>
  </w:num>
  <w:num w:numId="19">
    <w:abstractNumId w:val="25"/>
  </w:num>
  <w:num w:numId="20">
    <w:abstractNumId w:val="10"/>
  </w:num>
  <w:num w:numId="21">
    <w:abstractNumId w:val="9"/>
  </w:num>
  <w:num w:numId="22">
    <w:abstractNumId w:val="30"/>
  </w:num>
  <w:num w:numId="23">
    <w:abstractNumId w:val="8"/>
  </w:num>
  <w:num w:numId="24">
    <w:abstractNumId w:val="16"/>
  </w:num>
  <w:num w:numId="25">
    <w:abstractNumId w:val="3"/>
  </w:num>
  <w:num w:numId="26">
    <w:abstractNumId w:val="34"/>
  </w:num>
  <w:num w:numId="27">
    <w:abstractNumId w:val="13"/>
  </w:num>
  <w:num w:numId="28">
    <w:abstractNumId w:val="14"/>
  </w:num>
  <w:num w:numId="29">
    <w:abstractNumId w:val="11"/>
  </w:num>
  <w:num w:numId="30">
    <w:abstractNumId w:val="0"/>
  </w:num>
  <w:num w:numId="31">
    <w:abstractNumId w:val="23"/>
  </w:num>
  <w:num w:numId="32">
    <w:abstractNumId w:val="24"/>
  </w:num>
  <w:num w:numId="33">
    <w:abstractNumId w:val="26"/>
  </w:num>
  <w:num w:numId="34">
    <w:abstractNumId w:val="3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EFD"/>
    <w:rsid w:val="0000282E"/>
    <w:rsid w:val="00003818"/>
    <w:rsid w:val="00014B65"/>
    <w:rsid w:val="00020F18"/>
    <w:rsid w:val="00023293"/>
    <w:rsid w:val="00033657"/>
    <w:rsid w:val="00033A93"/>
    <w:rsid w:val="00034951"/>
    <w:rsid w:val="0004587F"/>
    <w:rsid w:val="00062B0A"/>
    <w:rsid w:val="00065E73"/>
    <w:rsid w:val="000B093C"/>
    <w:rsid w:val="000B24B9"/>
    <w:rsid w:val="000D009B"/>
    <w:rsid w:val="000D4462"/>
    <w:rsid w:val="000D7467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E134A"/>
    <w:rsid w:val="00206AD4"/>
    <w:rsid w:val="00212306"/>
    <w:rsid w:val="00214966"/>
    <w:rsid w:val="00220F86"/>
    <w:rsid w:val="00221CD6"/>
    <w:rsid w:val="00227C49"/>
    <w:rsid w:val="00236D78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2FEC"/>
    <w:rsid w:val="002D7C74"/>
    <w:rsid w:val="002E4919"/>
    <w:rsid w:val="002F4973"/>
    <w:rsid w:val="00303489"/>
    <w:rsid w:val="00306508"/>
    <w:rsid w:val="00310314"/>
    <w:rsid w:val="00325EFD"/>
    <w:rsid w:val="0033328F"/>
    <w:rsid w:val="00335D6E"/>
    <w:rsid w:val="00374D2A"/>
    <w:rsid w:val="00392D31"/>
    <w:rsid w:val="003E3D5A"/>
    <w:rsid w:val="003F7ABF"/>
    <w:rsid w:val="00401B97"/>
    <w:rsid w:val="00405816"/>
    <w:rsid w:val="00421EE4"/>
    <w:rsid w:val="004223C1"/>
    <w:rsid w:val="00431C31"/>
    <w:rsid w:val="00431E1E"/>
    <w:rsid w:val="004357D9"/>
    <w:rsid w:val="004715F1"/>
    <w:rsid w:val="004777F3"/>
    <w:rsid w:val="004844D3"/>
    <w:rsid w:val="00490920"/>
    <w:rsid w:val="00497D7A"/>
    <w:rsid w:val="004A6012"/>
    <w:rsid w:val="004B5495"/>
    <w:rsid w:val="004B7EC1"/>
    <w:rsid w:val="005213C3"/>
    <w:rsid w:val="005256E3"/>
    <w:rsid w:val="0053702E"/>
    <w:rsid w:val="00542DF5"/>
    <w:rsid w:val="005521BD"/>
    <w:rsid w:val="00581E88"/>
    <w:rsid w:val="00584624"/>
    <w:rsid w:val="00590187"/>
    <w:rsid w:val="005A3C2C"/>
    <w:rsid w:val="005B0EFC"/>
    <w:rsid w:val="005C78D6"/>
    <w:rsid w:val="005D00E5"/>
    <w:rsid w:val="005D2F74"/>
    <w:rsid w:val="005D4639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600F7"/>
    <w:rsid w:val="00663ECA"/>
    <w:rsid w:val="00692053"/>
    <w:rsid w:val="0069561C"/>
    <w:rsid w:val="00696B6A"/>
    <w:rsid w:val="0069734F"/>
    <w:rsid w:val="006A5885"/>
    <w:rsid w:val="006B210B"/>
    <w:rsid w:val="006C5701"/>
    <w:rsid w:val="006D6761"/>
    <w:rsid w:val="006E2BAC"/>
    <w:rsid w:val="007031D0"/>
    <w:rsid w:val="00703728"/>
    <w:rsid w:val="007106BC"/>
    <w:rsid w:val="0071090B"/>
    <w:rsid w:val="00723D7B"/>
    <w:rsid w:val="0073052E"/>
    <w:rsid w:val="0074017D"/>
    <w:rsid w:val="007541DD"/>
    <w:rsid w:val="00760BA2"/>
    <w:rsid w:val="00763FA9"/>
    <w:rsid w:val="007645EB"/>
    <w:rsid w:val="0077562D"/>
    <w:rsid w:val="0078025A"/>
    <w:rsid w:val="00785D54"/>
    <w:rsid w:val="007A3520"/>
    <w:rsid w:val="007A59C3"/>
    <w:rsid w:val="007B32D3"/>
    <w:rsid w:val="007B7F32"/>
    <w:rsid w:val="007C101F"/>
    <w:rsid w:val="007C4741"/>
    <w:rsid w:val="007D4ED4"/>
    <w:rsid w:val="007E038A"/>
    <w:rsid w:val="007F6248"/>
    <w:rsid w:val="00803A58"/>
    <w:rsid w:val="00806033"/>
    <w:rsid w:val="008201DB"/>
    <w:rsid w:val="00822512"/>
    <w:rsid w:val="00825537"/>
    <w:rsid w:val="00831259"/>
    <w:rsid w:val="00837CC3"/>
    <w:rsid w:val="00875CF4"/>
    <w:rsid w:val="00880B01"/>
    <w:rsid w:val="008A5D8F"/>
    <w:rsid w:val="008B0249"/>
    <w:rsid w:val="008B47F3"/>
    <w:rsid w:val="008C1091"/>
    <w:rsid w:val="008E332C"/>
    <w:rsid w:val="008F4964"/>
    <w:rsid w:val="008F74B6"/>
    <w:rsid w:val="00906D93"/>
    <w:rsid w:val="0090720B"/>
    <w:rsid w:val="00942320"/>
    <w:rsid w:val="00950CA5"/>
    <w:rsid w:val="0097734F"/>
    <w:rsid w:val="00980511"/>
    <w:rsid w:val="009B2527"/>
    <w:rsid w:val="009C08A5"/>
    <w:rsid w:val="009D4AEF"/>
    <w:rsid w:val="009D7DAA"/>
    <w:rsid w:val="009E5D61"/>
    <w:rsid w:val="00A10B9F"/>
    <w:rsid w:val="00A633E7"/>
    <w:rsid w:val="00A63DFF"/>
    <w:rsid w:val="00A750D7"/>
    <w:rsid w:val="00A93583"/>
    <w:rsid w:val="00AF073B"/>
    <w:rsid w:val="00B028EE"/>
    <w:rsid w:val="00B17684"/>
    <w:rsid w:val="00B33FF7"/>
    <w:rsid w:val="00B368B2"/>
    <w:rsid w:val="00B40006"/>
    <w:rsid w:val="00B40C72"/>
    <w:rsid w:val="00B41054"/>
    <w:rsid w:val="00B54B3B"/>
    <w:rsid w:val="00B702E9"/>
    <w:rsid w:val="00B70BB7"/>
    <w:rsid w:val="00B7690F"/>
    <w:rsid w:val="00B77646"/>
    <w:rsid w:val="00B90E2D"/>
    <w:rsid w:val="00BA3B13"/>
    <w:rsid w:val="00BC03AD"/>
    <w:rsid w:val="00BC03ED"/>
    <w:rsid w:val="00BC207C"/>
    <w:rsid w:val="00BC5BFD"/>
    <w:rsid w:val="00BD369B"/>
    <w:rsid w:val="00BD38D2"/>
    <w:rsid w:val="00BF0D6D"/>
    <w:rsid w:val="00BF2B11"/>
    <w:rsid w:val="00BF2E2E"/>
    <w:rsid w:val="00BF65D6"/>
    <w:rsid w:val="00C03C01"/>
    <w:rsid w:val="00C0712A"/>
    <w:rsid w:val="00C30558"/>
    <w:rsid w:val="00C42668"/>
    <w:rsid w:val="00C457F0"/>
    <w:rsid w:val="00C76F52"/>
    <w:rsid w:val="00C8723C"/>
    <w:rsid w:val="00C96758"/>
    <w:rsid w:val="00CB02B2"/>
    <w:rsid w:val="00CB765F"/>
    <w:rsid w:val="00CC1F97"/>
    <w:rsid w:val="00CD35E4"/>
    <w:rsid w:val="00CF77C4"/>
    <w:rsid w:val="00D27613"/>
    <w:rsid w:val="00D341F6"/>
    <w:rsid w:val="00D361DB"/>
    <w:rsid w:val="00D40D47"/>
    <w:rsid w:val="00D422AC"/>
    <w:rsid w:val="00D5013E"/>
    <w:rsid w:val="00D52FF9"/>
    <w:rsid w:val="00D772E7"/>
    <w:rsid w:val="00D9002C"/>
    <w:rsid w:val="00D940F4"/>
    <w:rsid w:val="00D96FE6"/>
    <w:rsid w:val="00D9760D"/>
    <w:rsid w:val="00DD1B4E"/>
    <w:rsid w:val="00DD2F1E"/>
    <w:rsid w:val="00DF3A4F"/>
    <w:rsid w:val="00DF550D"/>
    <w:rsid w:val="00E10001"/>
    <w:rsid w:val="00E41CBF"/>
    <w:rsid w:val="00E46D5D"/>
    <w:rsid w:val="00E57DE8"/>
    <w:rsid w:val="00E63661"/>
    <w:rsid w:val="00E75041"/>
    <w:rsid w:val="00E760FF"/>
    <w:rsid w:val="00E76595"/>
    <w:rsid w:val="00E90ADF"/>
    <w:rsid w:val="00EC6A7B"/>
    <w:rsid w:val="00EC70B6"/>
    <w:rsid w:val="00ED0B59"/>
    <w:rsid w:val="00F15930"/>
    <w:rsid w:val="00F24979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A1D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BF1B-AC1E-4CC1-89C3-6E59C78F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2614</Words>
  <Characters>15689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3</cp:revision>
  <cp:lastPrinted>2019-10-21T10:13:00Z</cp:lastPrinted>
  <dcterms:created xsi:type="dcterms:W3CDTF">2021-04-13T12:42:00Z</dcterms:created>
  <dcterms:modified xsi:type="dcterms:W3CDTF">2021-04-13T12:51:00Z</dcterms:modified>
</cp:coreProperties>
</file>